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Перечень вопросов 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рамках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 публичного обсуждения</w:t>
            </w:r>
          </w:p>
          <w:p w:rsidR="001A221F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Порядке предоставления за счет средств бюджета Белоярского района субсидий юридическим лицам (за исключением государственных (муниципальных) учреждений), индивидуальным предпринимателям, </w:t>
            </w:r>
            <w:r w:rsidR="001A22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возмещения затрат в связи с производством сельскохозяйственной продукции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4370F7" w:rsidRPr="00691F30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  <w:lang w:eastAsia="ru-RU"/>
              </w:rPr>
            </w:pP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B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370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bookmarkStart w:id="0" w:name="_GoBack"/>
            <w:bookmarkEnd w:id="0"/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часах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отношении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13. Иные предложения и замечания, которые, по Вашему мнению, целесообразно учесть в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рамках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370F7"/>
    <w:rsid w:val="000E1328"/>
    <w:rsid w:val="001A221F"/>
    <w:rsid w:val="004370F7"/>
    <w:rsid w:val="00525DAD"/>
    <w:rsid w:val="007B3B0E"/>
    <w:rsid w:val="00C54631"/>
    <w:rsid w:val="00CE17BA"/>
    <w:rsid w:val="00D05EE6"/>
    <w:rsid w:val="00F76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662</Words>
  <Characters>3776</Characters>
  <Application>Microsoft Office Word</Application>
  <DocSecurity>0</DocSecurity>
  <Lines>31</Lines>
  <Paragraphs>8</Paragraphs>
  <ScaleCrop>false</ScaleCrop>
  <Company>RePack by SPecialiST</Company>
  <LinksUpToDate>false</LinksUpToDate>
  <CharactersWithSpaces>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4</cp:revision>
  <dcterms:created xsi:type="dcterms:W3CDTF">2017-04-07T10:21:00Z</dcterms:created>
  <dcterms:modified xsi:type="dcterms:W3CDTF">2017-04-07T10:56:00Z</dcterms:modified>
</cp:coreProperties>
</file>